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B05D" w14:textId="7ABB61B8" w:rsidR="00FA1DCD" w:rsidRPr="00FA1DCD" w:rsidRDefault="00FA1DCD" w:rsidP="00FA1DCD">
      <w:pPr>
        <w:widowControl/>
        <w:shd w:val="clear" w:color="auto" w:fill="FFFFFF"/>
        <w:spacing w:before="240" w:after="240"/>
        <w:jc w:val="left"/>
        <w:textAlignment w:val="baseline"/>
        <w:rPr>
          <w:rFonts w:ascii="Helvetica" w:eastAsia="宋体" w:hAnsi="Helvetica" w:cs="Helvetica"/>
          <w:color w:val="444444"/>
          <w:kern w:val="0"/>
          <w:sz w:val="23"/>
          <w:szCs w:val="23"/>
        </w:rPr>
      </w:pPr>
    </w:p>
    <w:tbl>
      <w:tblPr>
        <w:tblW w:w="0" w:type="auto"/>
        <w:tblCellSpacing w:w="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8"/>
        <w:gridCol w:w="2003"/>
        <w:gridCol w:w="2495"/>
        <w:gridCol w:w="2797"/>
      </w:tblGrid>
      <w:tr w:rsidR="00FA1DCD" w:rsidRPr="00FA1DCD" w14:paraId="37BE07BE" w14:textId="77777777" w:rsidTr="00FA1DCD">
        <w:trPr>
          <w:tblHeader/>
          <w:tblCellSpacing w:w="15" w:type="dxa"/>
        </w:trPr>
        <w:tc>
          <w:tcPr>
            <w:tcW w:w="1523" w:type="dxa"/>
            <w:shd w:val="clear" w:color="auto" w:fill="FFFFFF"/>
            <w:tcMar>
              <w:top w:w="75" w:type="dxa"/>
              <w:left w:w="225" w:type="dxa"/>
              <w:bottom w:w="75" w:type="dxa"/>
              <w:right w:w="225" w:type="dxa"/>
            </w:tcMar>
            <w:vAlign w:val="center"/>
            <w:hideMark/>
          </w:tcPr>
          <w:p w14:paraId="2A2A96C9" w14:textId="77777777" w:rsidR="00FA1DCD" w:rsidRPr="00FA1DCD" w:rsidRDefault="00FA1DCD" w:rsidP="00FA1DCD">
            <w:pPr>
              <w:widowControl/>
              <w:jc w:val="left"/>
              <w:rPr>
                <w:rFonts w:ascii="Helvetica" w:eastAsia="宋体" w:hAnsi="Helvetica" w:cs="Helvetica"/>
                <w:color w:val="444444"/>
                <w:kern w:val="0"/>
                <w:sz w:val="23"/>
                <w:szCs w:val="23"/>
              </w:rPr>
            </w:pPr>
          </w:p>
        </w:tc>
        <w:tc>
          <w:tcPr>
            <w:tcW w:w="0" w:type="auto"/>
            <w:shd w:val="clear" w:color="auto" w:fill="FFFFFF"/>
            <w:tcMar>
              <w:top w:w="75" w:type="dxa"/>
              <w:left w:w="225" w:type="dxa"/>
              <w:bottom w:w="75" w:type="dxa"/>
              <w:right w:w="225" w:type="dxa"/>
            </w:tcMar>
            <w:vAlign w:val="center"/>
            <w:hideMark/>
          </w:tcPr>
          <w:p w14:paraId="3EE75CEF" w14:textId="77777777" w:rsidR="00FA1DCD" w:rsidRPr="00FA1DCD" w:rsidRDefault="00FA1DCD" w:rsidP="00FA1DCD">
            <w:pPr>
              <w:widowControl/>
              <w:jc w:val="left"/>
              <w:rPr>
                <w:rFonts w:ascii="inherit" w:eastAsia="宋体" w:hAnsi="inherit" w:cs="Helvetica"/>
                <w:b/>
                <w:bCs/>
                <w:color w:val="444444"/>
                <w:kern w:val="0"/>
                <w:sz w:val="23"/>
                <w:szCs w:val="23"/>
              </w:rPr>
            </w:pPr>
            <w:r w:rsidRPr="00FA1DCD">
              <w:rPr>
                <w:rFonts w:ascii="inherit" w:eastAsia="宋体" w:hAnsi="inherit" w:cs="Helvetica"/>
                <w:b/>
                <w:bCs/>
                <w:color w:val="444444"/>
                <w:kern w:val="0"/>
                <w:sz w:val="23"/>
                <w:szCs w:val="23"/>
              </w:rPr>
              <w:t>基金会</w:t>
            </w:r>
          </w:p>
        </w:tc>
        <w:tc>
          <w:tcPr>
            <w:tcW w:w="0" w:type="auto"/>
            <w:shd w:val="clear" w:color="auto" w:fill="FFFFFF"/>
            <w:tcMar>
              <w:top w:w="75" w:type="dxa"/>
              <w:left w:w="225" w:type="dxa"/>
              <w:bottom w:w="75" w:type="dxa"/>
              <w:right w:w="225" w:type="dxa"/>
            </w:tcMar>
            <w:vAlign w:val="center"/>
            <w:hideMark/>
          </w:tcPr>
          <w:p w14:paraId="4CE51457" w14:textId="77777777" w:rsidR="00FA1DCD" w:rsidRPr="00FA1DCD" w:rsidRDefault="00FA1DCD" w:rsidP="00FA1DCD">
            <w:pPr>
              <w:widowControl/>
              <w:jc w:val="left"/>
              <w:rPr>
                <w:rFonts w:ascii="inherit" w:eastAsia="宋体" w:hAnsi="inherit" w:cs="Helvetica"/>
                <w:b/>
                <w:bCs/>
                <w:color w:val="444444"/>
                <w:kern w:val="0"/>
                <w:sz w:val="23"/>
                <w:szCs w:val="23"/>
              </w:rPr>
            </w:pPr>
            <w:r w:rsidRPr="00FA1DCD">
              <w:rPr>
                <w:rFonts w:ascii="inherit" w:eastAsia="宋体" w:hAnsi="inherit" w:cs="Helvetica"/>
                <w:b/>
                <w:bCs/>
                <w:color w:val="444444"/>
                <w:kern w:val="0"/>
                <w:sz w:val="23"/>
                <w:szCs w:val="23"/>
              </w:rPr>
              <w:t>专项基金</w:t>
            </w:r>
          </w:p>
        </w:tc>
        <w:tc>
          <w:tcPr>
            <w:tcW w:w="0" w:type="auto"/>
            <w:shd w:val="clear" w:color="auto" w:fill="FFFFFF"/>
            <w:tcMar>
              <w:top w:w="75" w:type="dxa"/>
              <w:left w:w="225" w:type="dxa"/>
              <w:bottom w:w="75" w:type="dxa"/>
              <w:right w:w="225" w:type="dxa"/>
            </w:tcMar>
            <w:vAlign w:val="center"/>
            <w:hideMark/>
          </w:tcPr>
          <w:p w14:paraId="0B4A2D71" w14:textId="77777777" w:rsidR="00FA1DCD" w:rsidRPr="00FA1DCD" w:rsidRDefault="00FA1DCD" w:rsidP="00FA1DCD">
            <w:pPr>
              <w:widowControl/>
              <w:jc w:val="left"/>
              <w:rPr>
                <w:rFonts w:ascii="inherit" w:eastAsia="宋体" w:hAnsi="inherit" w:cs="Helvetica"/>
                <w:b/>
                <w:bCs/>
                <w:color w:val="444444"/>
                <w:kern w:val="0"/>
                <w:sz w:val="23"/>
                <w:szCs w:val="23"/>
              </w:rPr>
            </w:pPr>
            <w:r w:rsidRPr="00FA1DCD">
              <w:rPr>
                <w:rFonts w:ascii="inherit" w:eastAsia="宋体" w:hAnsi="inherit" w:cs="Helvetica"/>
                <w:b/>
                <w:bCs/>
                <w:color w:val="444444"/>
                <w:kern w:val="0"/>
                <w:sz w:val="23"/>
                <w:szCs w:val="23"/>
              </w:rPr>
              <w:t>慈善信托</w:t>
            </w:r>
          </w:p>
        </w:tc>
      </w:tr>
      <w:tr w:rsidR="00FA1DCD" w:rsidRPr="00FA1DCD" w14:paraId="52D38EBC" w14:textId="77777777" w:rsidTr="00FA1DCD">
        <w:trPr>
          <w:tblCellSpacing w:w="15" w:type="dxa"/>
        </w:trPr>
        <w:tc>
          <w:tcPr>
            <w:tcW w:w="1523" w:type="dxa"/>
            <w:shd w:val="clear" w:color="auto" w:fill="FFFFFF"/>
            <w:tcMar>
              <w:top w:w="75" w:type="dxa"/>
              <w:left w:w="225" w:type="dxa"/>
              <w:bottom w:w="75" w:type="dxa"/>
              <w:right w:w="225" w:type="dxa"/>
            </w:tcMar>
            <w:vAlign w:val="center"/>
            <w:hideMark/>
          </w:tcPr>
          <w:p w14:paraId="103BC6A3"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成立方式</w:t>
            </w:r>
          </w:p>
        </w:tc>
        <w:tc>
          <w:tcPr>
            <w:tcW w:w="0" w:type="auto"/>
            <w:shd w:val="clear" w:color="auto" w:fill="FFFFFF"/>
            <w:tcMar>
              <w:top w:w="75" w:type="dxa"/>
              <w:left w:w="225" w:type="dxa"/>
              <w:bottom w:w="75" w:type="dxa"/>
              <w:right w:w="225" w:type="dxa"/>
            </w:tcMar>
            <w:vAlign w:val="center"/>
            <w:hideMark/>
          </w:tcPr>
          <w:p w14:paraId="6040210C"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经民政部门批准设立，设立程序较复杂。经登记管理机关批准设立。</w:t>
            </w:r>
          </w:p>
        </w:tc>
        <w:tc>
          <w:tcPr>
            <w:tcW w:w="0" w:type="auto"/>
            <w:shd w:val="clear" w:color="auto" w:fill="FFFFFF"/>
            <w:tcMar>
              <w:top w:w="75" w:type="dxa"/>
              <w:left w:w="225" w:type="dxa"/>
              <w:bottom w:w="75" w:type="dxa"/>
              <w:right w:w="225" w:type="dxa"/>
            </w:tcMar>
            <w:vAlign w:val="center"/>
            <w:hideMark/>
          </w:tcPr>
          <w:p w14:paraId="1740AE4A"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与基金会签订相应的专项基金设立协议。</w:t>
            </w:r>
          </w:p>
        </w:tc>
        <w:tc>
          <w:tcPr>
            <w:tcW w:w="0" w:type="auto"/>
            <w:shd w:val="clear" w:color="auto" w:fill="FFFFFF"/>
            <w:tcMar>
              <w:top w:w="75" w:type="dxa"/>
              <w:left w:w="225" w:type="dxa"/>
              <w:bottom w:w="75" w:type="dxa"/>
              <w:right w:w="225" w:type="dxa"/>
            </w:tcMar>
            <w:vAlign w:val="center"/>
            <w:hideMark/>
          </w:tcPr>
          <w:p w14:paraId="276B1A10"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在民政部门备案。设立慈善信托采用备案制。</w:t>
            </w:r>
          </w:p>
        </w:tc>
      </w:tr>
      <w:tr w:rsidR="00FA1DCD" w:rsidRPr="00FA1DCD" w14:paraId="5E2A4635" w14:textId="77777777" w:rsidTr="00FA1DCD">
        <w:trPr>
          <w:tblCellSpacing w:w="15" w:type="dxa"/>
        </w:trPr>
        <w:tc>
          <w:tcPr>
            <w:tcW w:w="1523" w:type="dxa"/>
            <w:shd w:val="clear" w:color="auto" w:fill="EEEEEE"/>
            <w:tcMar>
              <w:top w:w="75" w:type="dxa"/>
              <w:left w:w="225" w:type="dxa"/>
              <w:bottom w:w="75" w:type="dxa"/>
              <w:right w:w="225" w:type="dxa"/>
            </w:tcMar>
            <w:vAlign w:val="center"/>
            <w:hideMark/>
          </w:tcPr>
          <w:p w14:paraId="1917A19C"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发起资金</w:t>
            </w:r>
          </w:p>
        </w:tc>
        <w:tc>
          <w:tcPr>
            <w:tcW w:w="0" w:type="auto"/>
            <w:shd w:val="clear" w:color="auto" w:fill="EEEEEE"/>
            <w:tcMar>
              <w:top w:w="75" w:type="dxa"/>
              <w:left w:w="225" w:type="dxa"/>
              <w:bottom w:w="75" w:type="dxa"/>
              <w:right w:w="225" w:type="dxa"/>
            </w:tcMar>
            <w:vAlign w:val="center"/>
            <w:hideMark/>
          </w:tcPr>
          <w:p w14:paraId="3A9F92F2"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全国公募基金会</w:t>
            </w:r>
            <w:r w:rsidRPr="00FA1DCD">
              <w:rPr>
                <w:rFonts w:ascii="inherit" w:eastAsia="宋体" w:hAnsi="inherit" w:cs="Helvetica"/>
                <w:color w:val="444444"/>
                <w:kern w:val="0"/>
                <w:sz w:val="23"/>
                <w:szCs w:val="23"/>
              </w:rPr>
              <w:t>≥800</w:t>
            </w:r>
            <w:r w:rsidRPr="00FA1DCD">
              <w:rPr>
                <w:rFonts w:ascii="inherit" w:eastAsia="宋体" w:hAnsi="inherit" w:cs="Helvetica"/>
                <w:color w:val="444444"/>
                <w:kern w:val="0"/>
                <w:sz w:val="23"/>
                <w:szCs w:val="23"/>
              </w:rPr>
              <w:t>万；</w:t>
            </w:r>
            <w:r w:rsidRPr="00FA1DCD">
              <w:rPr>
                <w:rFonts w:ascii="inherit" w:eastAsia="宋体" w:hAnsi="inherit" w:cs="Helvetica"/>
                <w:color w:val="444444"/>
                <w:kern w:val="0"/>
                <w:sz w:val="23"/>
                <w:szCs w:val="23"/>
              </w:rPr>
              <w:br/>
            </w:r>
            <w:r w:rsidRPr="00FA1DCD">
              <w:rPr>
                <w:rFonts w:ascii="inherit" w:eastAsia="宋体" w:hAnsi="inherit" w:cs="Helvetica"/>
                <w:color w:val="444444"/>
                <w:kern w:val="0"/>
                <w:sz w:val="23"/>
                <w:szCs w:val="23"/>
              </w:rPr>
              <w:t>地方公募基金会</w:t>
            </w:r>
            <w:r w:rsidRPr="00FA1DCD">
              <w:rPr>
                <w:rFonts w:ascii="inherit" w:eastAsia="宋体" w:hAnsi="inherit" w:cs="Helvetica"/>
                <w:color w:val="444444"/>
                <w:kern w:val="0"/>
                <w:sz w:val="23"/>
                <w:szCs w:val="23"/>
              </w:rPr>
              <w:t>≥400</w:t>
            </w:r>
            <w:r w:rsidRPr="00FA1DCD">
              <w:rPr>
                <w:rFonts w:ascii="inherit" w:eastAsia="宋体" w:hAnsi="inherit" w:cs="Helvetica"/>
                <w:color w:val="444444"/>
                <w:kern w:val="0"/>
                <w:sz w:val="23"/>
                <w:szCs w:val="23"/>
              </w:rPr>
              <w:t>万；</w:t>
            </w:r>
            <w:r w:rsidRPr="00FA1DCD">
              <w:rPr>
                <w:rFonts w:ascii="inherit" w:eastAsia="宋体" w:hAnsi="inherit" w:cs="Helvetica"/>
                <w:color w:val="444444"/>
                <w:kern w:val="0"/>
                <w:sz w:val="23"/>
                <w:szCs w:val="23"/>
              </w:rPr>
              <w:br/>
            </w:r>
            <w:r w:rsidRPr="00FA1DCD">
              <w:rPr>
                <w:rFonts w:ascii="inherit" w:eastAsia="宋体" w:hAnsi="inherit" w:cs="Helvetica"/>
                <w:color w:val="444444"/>
                <w:kern w:val="0"/>
                <w:sz w:val="23"/>
                <w:szCs w:val="23"/>
              </w:rPr>
              <w:t>私募基金会</w:t>
            </w:r>
            <w:r w:rsidRPr="00FA1DCD">
              <w:rPr>
                <w:rFonts w:ascii="inherit" w:eastAsia="宋体" w:hAnsi="inherit" w:cs="Helvetica"/>
                <w:color w:val="444444"/>
                <w:kern w:val="0"/>
                <w:sz w:val="23"/>
                <w:szCs w:val="23"/>
              </w:rPr>
              <w:t>≥200</w:t>
            </w:r>
            <w:r w:rsidRPr="00FA1DCD">
              <w:rPr>
                <w:rFonts w:ascii="inherit" w:eastAsia="宋体" w:hAnsi="inherit" w:cs="Helvetica"/>
                <w:color w:val="444444"/>
                <w:kern w:val="0"/>
                <w:sz w:val="23"/>
                <w:szCs w:val="23"/>
              </w:rPr>
              <w:t>万。</w:t>
            </w:r>
          </w:p>
        </w:tc>
        <w:tc>
          <w:tcPr>
            <w:tcW w:w="0" w:type="auto"/>
            <w:shd w:val="clear" w:color="auto" w:fill="EEEEEE"/>
            <w:tcMar>
              <w:top w:w="75" w:type="dxa"/>
              <w:left w:w="225" w:type="dxa"/>
              <w:bottom w:w="75" w:type="dxa"/>
              <w:right w:w="225" w:type="dxa"/>
            </w:tcMar>
            <w:vAlign w:val="center"/>
            <w:hideMark/>
          </w:tcPr>
          <w:p w14:paraId="16D52D60"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根据基金会的具体规定。</w:t>
            </w:r>
          </w:p>
        </w:tc>
        <w:tc>
          <w:tcPr>
            <w:tcW w:w="0" w:type="auto"/>
            <w:shd w:val="clear" w:color="auto" w:fill="EEEEEE"/>
            <w:tcMar>
              <w:top w:w="75" w:type="dxa"/>
              <w:left w:w="225" w:type="dxa"/>
              <w:bottom w:w="75" w:type="dxa"/>
              <w:right w:w="225" w:type="dxa"/>
            </w:tcMar>
            <w:vAlign w:val="center"/>
            <w:hideMark/>
          </w:tcPr>
          <w:p w14:paraId="0B3A7F17"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对信托规模和信托财产数额无限额要求</w:t>
            </w:r>
          </w:p>
        </w:tc>
      </w:tr>
      <w:tr w:rsidR="00FA1DCD" w:rsidRPr="00FA1DCD" w14:paraId="47C8A878" w14:textId="77777777" w:rsidTr="00FA1DCD">
        <w:trPr>
          <w:tblCellSpacing w:w="15" w:type="dxa"/>
        </w:trPr>
        <w:tc>
          <w:tcPr>
            <w:tcW w:w="1523" w:type="dxa"/>
            <w:shd w:val="clear" w:color="auto" w:fill="FFFFFF"/>
            <w:tcMar>
              <w:top w:w="75" w:type="dxa"/>
              <w:left w:w="225" w:type="dxa"/>
              <w:bottom w:w="75" w:type="dxa"/>
              <w:right w:w="225" w:type="dxa"/>
            </w:tcMar>
            <w:vAlign w:val="center"/>
            <w:hideMark/>
          </w:tcPr>
          <w:p w14:paraId="16D44994"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监督机制</w:t>
            </w:r>
          </w:p>
        </w:tc>
        <w:tc>
          <w:tcPr>
            <w:tcW w:w="0" w:type="auto"/>
            <w:shd w:val="clear" w:color="auto" w:fill="FFFFFF"/>
            <w:tcMar>
              <w:top w:w="75" w:type="dxa"/>
              <w:left w:w="225" w:type="dxa"/>
              <w:bottom w:w="75" w:type="dxa"/>
              <w:right w:w="225" w:type="dxa"/>
            </w:tcMar>
            <w:vAlign w:val="center"/>
            <w:hideMark/>
          </w:tcPr>
          <w:p w14:paraId="691782F0"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w:t>
            </w:r>
            <w:r w:rsidRPr="00FA1DCD">
              <w:rPr>
                <w:rFonts w:ascii="inherit" w:eastAsia="宋体" w:hAnsi="inherit" w:cs="Helvetica"/>
                <w:color w:val="444444"/>
                <w:kern w:val="0"/>
                <w:sz w:val="23"/>
                <w:szCs w:val="23"/>
              </w:rPr>
              <w:t>民政部门和业务主管单位（双重管理的情况下）</w:t>
            </w:r>
            <w:r w:rsidRPr="00FA1DCD">
              <w:rPr>
                <w:rFonts w:ascii="inherit" w:eastAsia="宋体" w:hAnsi="inherit" w:cs="Helvetica"/>
                <w:color w:val="444444"/>
                <w:kern w:val="0"/>
                <w:sz w:val="23"/>
                <w:szCs w:val="23"/>
              </w:rPr>
              <w:br/>
              <w:t>►</w:t>
            </w:r>
            <w:r w:rsidRPr="00FA1DCD">
              <w:rPr>
                <w:rFonts w:ascii="inherit" w:eastAsia="宋体" w:hAnsi="inherit" w:cs="Helvetica"/>
                <w:color w:val="444444"/>
                <w:kern w:val="0"/>
                <w:sz w:val="23"/>
                <w:szCs w:val="23"/>
              </w:rPr>
              <w:t>信息公开且实行年度报告制度</w:t>
            </w:r>
          </w:p>
        </w:tc>
        <w:tc>
          <w:tcPr>
            <w:tcW w:w="0" w:type="auto"/>
            <w:shd w:val="clear" w:color="auto" w:fill="FFFFFF"/>
            <w:tcMar>
              <w:top w:w="75" w:type="dxa"/>
              <w:left w:w="225" w:type="dxa"/>
              <w:bottom w:w="75" w:type="dxa"/>
              <w:right w:w="225" w:type="dxa"/>
            </w:tcMar>
            <w:vAlign w:val="center"/>
            <w:hideMark/>
          </w:tcPr>
          <w:p w14:paraId="460718AA"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w:t>
            </w:r>
            <w:r w:rsidRPr="00FA1DCD">
              <w:rPr>
                <w:rFonts w:ascii="inherit" w:eastAsia="宋体" w:hAnsi="inherit" w:cs="Helvetica"/>
                <w:color w:val="444444"/>
                <w:kern w:val="0"/>
                <w:sz w:val="23"/>
                <w:szCs w:val="23"/>
              </w:rPr>
              <w:t>捐赠人</w:t>
            </w:r>
            <w:r w:rsidRPr="00FA1DCD">
              <w:rPr>
                <w:rFonts w:ascii="inherit" w:eastAsia="宋体" w:hAnsi="inherit" w:cs="Helvetica"/>
                <w:color w:val="444444"/>
                <w:kern w:val="0"/>
                <w:sz w:val="23"/>
                <w:szCs w:val="23"/>
              </w:rPr>
              <w:br/>
              <w:t>►</w:t>
            </w:r>
            <w:r w:rsidRPr="00FA1DCD">
              <w:rPr>
                <w:rFonts w:ascii="inherit" w:eastAsia="宋体" w:hAnsi="inherit" w:cs="Helvetica"/>
                <w:color w:val="444444"/>
                <w:kern w:val="0"/>
                <w:sz w:val="23"/>
                <w:szCs w:val="23"/>
              </w:rPr>
              <w:t>民政部门</w:t>
            </w:r>
            <w:r w:rsidRPr="00FA1DCD">
              <w:rPr>
                <w:rFonts w:ascii="inherit" w:eastAsia="宋体" w:hAnsi="inherit" w:cs="Helvetica"/>
                <w:color w:val="444444"/>
                <w:kern w:val="0"/>
                <w:sz w:val="23"/>
                <w:szCs w:val="23"/>
              </w:rPr>
              <w:br/>
              <w:t>►</w:t>
            </w:r>
            <w:r w:rsidRPr="00FA1DCD">
              <w:rPr>
                <w:rFonts w:ascii="inherit" w:eastAsia="宋体" w:hAnsi="inherit" w:cs="Helvetica"/>
                <w:color w:val="444444"/>
                <w:kern w:val="0"/>
                <w:sz w:val="23"/>
                <w:szCs w:val="23"/>
              </w:rPr>
              <w:t>设立专项基金的基金会</w:t>
            </w:r>
            <w:r w:rsidRPr="00FA1DCD">
              <w:rPr>
                <w:rFonts w:ascii="inherit" w:eastAsia="宋体" w:hAnsi="inherit" w:cs="Helvetica"/>
                <w:color w:val="444444"/>
                <w:kern w:val="0"/>
                <w:sz w:val="23"/>
                <w:szCs w:val="23"/>
              </w:rPr>
              <w:br/>
              <w:t>►</w:t>
            </w:r>
            <w:r w:rsidRPr="00FA1DCD">
              <w:rPr>
                <w:rFonts w:ascii="inherit" w:eastAsia="宋体" w:hAnsi="inherit" w:cs="Helvetica"/>
                <w:color w:val="444444"/>
                <w:kern w:val="0"/>
                <w:sz w:val="23"/>
                <w:szCs w:val="23"/>
              </w:rPr>
              <w:t>其他依专项基金设立协议约定的监督机制。</w:t>
            </w:r>
          </w:p>
        </w:tc>
        <w:tc>
          <w:tcPr>
            <w:tcW w:w="0" w:type="auto"/>
            <w:shd w:val="clear" w:color="auto" w:fill="FFFFFF"/>
            <w:tcMar>
              <w:top w:w="75" w:type="dxa"/>
              <w:left w:w="225" w:type="dxa"/>
              <w:bottom w:w="75" w:type="dxa"/>
              <w:right w:w="225" w:type="dxa"/>
            </w:tcMar>
            <w:vAlign w:val="center"/>
            <w:hideMark/>
          </w:tcPr>
          <w:p w14:paraId="194A05AE"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w:t>
            </w:r>
            <w:r w:rsidRPr="00FA1DCD">
              <w:rPr>
                <w:rFonts w:ascii="inherit" w:eastAsia="宋体" w:hAnsi="inherit" w:cs="Helvetica"/>
                <w:color w:val="444444"/>
                <w:kern w:val="0"/>
                <w:sz w:val="23"/>
                <w:szCs w:val="23"/>
              </w:rPr>
              <w:t>委托人监督；</w:t>
            </w:r>
            <w:r w:rsidRPr="00FA1DCD">
              <w:rPr>
                <w:rFonts w:ascii="inherit" w:eastAsia="宋体" w:hAnsi="inherit" w:cs="Helvetica"/>
                <w:color w:val="444444"/>
                <w:kern w:val="0"/>
                <w:sz w:val="23"/>
                <w:szCs w:val="23"/>
              </w:rPr>
              <w:br/>
              <w:t>►</w:t>
            </w:r>
            <w:r w:rsidRPr="00FA1DCD">
              <w:rPr>
                <w:rFonts w:ascii="inherit" w:eastAsia="宋体" w:hAnsi="inherit" w:cs="Helvetica"/>
                <w:color w:val="444444"/>
                <w:kern w:val="0"/>
                <w:sz w:val="23"/>
                <w:szCs w:val="23"/>
              </w:rPr>
              <w:t>信托公司担任受托人的：其登记注册地设区市的民政部门、银监会的监管；</w:t>
            </w:r>
            <w:r w:rsidRPr="00FA1DCD">
              <w:rPr>
                <w:rFonts w:ascii="inherit" w:eastAsia="宋体" w:hAnsi="inherit" w:cs="Helvetica"/>
                <w:color w:val="444444"/>
                <w:kern w:val="0"/>
                <w:sz w:val="23"/>
                <w:szCs w:val="23"/>
              </w:rPr>
              <w:br/>
              <w:t>►</w:t>
            </w:r>
            <w:r w:rsidRPr="00FA1DCD">
              <w:rPr>
                <w:rFonts w:ascii="inherit" w:eastAsia="宋体" w:hAnsi="inherit" w:cs="Helvetica"/>
                <w:color w:val="444444"/>
                <w:kern w:val="0"/>
                <w:sz w:val="23"/>
                <w:szCs w:val="23"/>
              </w:rPr>
              <w:t>慈善组织担任受托人的：准予其登记或予以认定的民政部门；</w:t>
            </w:r>
            <w:proofErr w:type="gramStart"/>
            <w:r w:rsidRPr="00FA1DCD">
              <w:rPr>
                <w:rFonts w:ascii="inherit" w:eastAsia="宋体" w:hAnsi="inherit" w:cs="Helvetica"/>
                <w:color w:val="444444"/>
                <w:kern w:val="0"/>
                <w:sz w:val="23"/>
                <w:szCs w:val="23"/>
              </w:rPr>
              <w:t>依选择</w:t>
            </w:r>
            <w:proofErr w:type="gramEnd"/>
            <w:r w:rsidRPr="00FA1DCD">
              <w:rPr>
                <w:rFonts w:ascii="inherit" w:eastAsia="宋体" w:hAnsi="inherit" w:cs="Helvetica"/>
                <w:color w:val="444444"/>
                <w:kern w:val="0"/>
                <w:sz w:val="23"/>
                <w:szCs w:val="23"/>
              </w:rPr>
              <w:t>可设立信托监察人进行监督；</w:t>
            </w:r>
            <w:r w:rsidRPr="00FA1DCD">
              <w:rPr>
                <w:rFonts w:ascii="inherit" w:eastAsia="宋体" w:hAnsi="inherit" w:cs="Helvetica"/>
                <w:color w:val="444444"/>
                <w:kern w:val="0"/>
                <w:sz w:val="23"/>
                <w:szCs w:val="23"/>
              </w:rPr>
              <w:br/>
              <w:t>►</w:t>
            </w:r>
            <w:r w:rsidRPr="00FA1DCD">
              <w:rPr>
                <w:rFonts w:ascii="inherit" w:eastAsia="宋体" w:hAnsi="inherit" w:cs="Helvetica"/>
                <w:color w:val="444444"/>
                <w:kern w:val="0"/>
                <w:sz w:val="23"/>
                <w:szCs w:val="23"/>
              </w:rPr>
              <w:t>信息公开</w:t>
            </w:r>
          </w:p>
        </w:tc>
      </w:tr>
      <w:tr w:rsidR="00FA1DCD" w:rsidRPr="00FA1DCD" w14:paraId="32D697E0" w14:textId="77777777" w:rsidTr="00FA1DCD">
        <w:trPr>
          <w:tblCellSpacing w:w="15" w:type="dxa"/>
        </w:trPr>
        <w:tc>
          <w:tcPr>
            <w:tcW w:w="1523" w:type="dxa"/>
            <w:shd w:val="clear" w:color="auto" w:fill="EEEEEE"/>
            <w:tcMar>
              <w:top w:w="75" w:type="dxa"/>
              <w:left w:w="225" w:type="dxa"/>
              <w:bottom w:w="75" w:type="dxa"/>
              <w:right w:w="225" w:type="dxa"/>
            </w:tcMar>
            <w:vAlign w:val="center"/>
            <w:hideMark/>
          </w:tcPr>
          <w:p w14:paraId="77F3EFA3"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捐赠财产账户管理</w:t>
            </w:r>
          </w:p>
        </w:tc>
        <w:tc>
          <w:tcPr>
            <w:tcW w:w="0" w:type="auto"/>
            <w:shd w:val="clear" w:color="auto" w:fill="EEEEEE"/>
            <w:tcMar>
              <w:top w:w="75" w:type="dxa"/>
              <w:left w:w="225" w:type="dxa"/>
              <w:bottom w:w="75" w:type="dxa"/>
              <w:right w:w="225" w:type="dxa"/>
            </w:tcMar>
            <w:vAlign w:val="center"/>
            <w:hideMark/>
          </w:tcPr>
          <w:p w14:paraId="643D3D91"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基金会只有一个银行账户，根据不同慈善项目与专项基金进行资金区分。</w:t>
            </w:r>
          </w:p>
        </w:tc>
        <w:tc>
          <w:tcPr>
            <w:tcW w:w="0" w:type="auto"/>
            <w:shd w:val="clear" w:color="auto" w:fill="EEEEEE"/>
            <w:tcMar>
              <w:top w:w="75" w:type="dxa"/>
              <w:left w:w="225" w:type="dxa"/>
              <w:bottom w:w="75" w:type="dxa"/>
              <w:right w:w="225" w:type="dxa"/>
            </w:tcMar>
            <w:vAlign w:val="center"/>
            <w:hideMark/>
          </w:tcPr>
          <w:p w14:paraId="1C6FDF89"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专项基金没有独立的账户，专项基金的收支应当全部纳入本基金会账户。</w:t>
            </w:r>
          </w:p>
        </w:tc>
        <w:tc>
          <w:tcPr>
            <w:tcW w:w="0" w:type="auto"/>
            <w:shd w:val="clear" w:color="auto" w:fill="EEEEEE"/>
            <w:tcMar>
              <w:top w:w="75" w:type="dxa"/>
              <w:left w:w="225" w:type="dxa"/>
              <w:bottom w:w="75" w:type="dxa"/>
              <w:right w:w="225" w:type="dxa"/>
            </w:tcMar>
            <w:vAlign w:val="center"/>
            <w:hideMark/>
          </w:tcPr>
          <w:p w14:paraId="0ADF47EA"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资金信托，由商业银行担任保管人；非资金信托，委托第三方保管。</w:t>
            </w:r>
          </w:p>
        </w:tc>
      </w:tr>
      <w:tr w:rsidR="00FA1DCD" w:rsidRPr="00FA1DCD" w14:paraId="1CA98A37" w14:textId="77777777" w:rsidTr="00FA1DCD">
        <w:trPr>
          <w:tblCellSpacing w:w="15" w:type="dxa"/>
        </w:trPr>
        <w:tc>
          <w:tcPr>
            <w:tcW w:w="1523" w:type="dxa"/>
            <w:shd w:val="clear" w:color="auto" w:fill="FFFFFF"/>
            <w:tcMar>
              <w:top w:w="75" w:type="dxa"/>
              <w:left w:w="225" w:type="dxa"/>
              <w:bottom w:w="75" w:type="dxa"/>
              <w:right w:w="225" w:type="dxa"/>
            </w:tcMar>
            <w:vAlign w:val="center"/>
            <w:hideMark/>
          </w:tcPr>
          <w:p w14:paraId="6D8D4B3B"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捐赠财产的保值增值</w:t>
            </w:r>
          </w:p>
        </w:tc>
        <w:tc>
          <w:tcPr>
            <w:tcW w:w="0" w:type="auto"/>
            <w:shd w:val="clear" w:color="auto" w:fill="FFFFFF"/>
            <w:tcMar>
              <w:top w:w="75" w:type="dxa"/>
              <w:left w:w="225" w:type="dxa"/>
              <w:bottom w:w="75" w:type="dxa"/>
              <w:right w:w="225" w:type="dxa"/>
            </w:tcMar>
            <w:vAlign w:val="center"/>
            <w:hideMark/>
          </w:tcPr>
          <w:p w14:paraId="608C14FC"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1</w:t>
            </w:r>
            <w:r w:rsidRPr="00FA1DCD">
              <w:rPr>
                <w:rFonts w:ascii="inherit" w:eastAsia="宋体" w:hAnsi="inherit" w:cs="Helvetica"/>
                <w:color w:val="444444"/>
                <w:kern w:val="0"/>
                <w:sz w:val="23"/>
                <w:szCs w:val="23"/>
              </w:rPr>
              <w:t>）流程合法（理事会决议</w:t>
            </w:r>
            <w:r w:rsidRPr="00FA1DCD">
              <w:rPr>
                <w:rFonts w:ascii="inherit" w:eastAsia="宋体" w:hAnsi="inherit" w:cs="Helvetica"/>
                <w:color w:val="444444"/>
                <w:kern w:val="0"/>
                <w:sz w:val="23"/>
                <w:szCs w:val="23"/>
              </w:rPr>
              <w:t>+</w:t>
            </w:r>
            <w:r w:rsidRPr="00FA1DCD">
              <w:rPr>
                <w:rFonts w:ascii="inherit" w:eastAsia="宋体" w:hAnsi="inherit" w:cs="Helvetica"/>
                <w:color w:val="444444"/>
                <w:kern w:val="0"/>
                <w:sz w:val="23"/>
                <w:szCs w:val="23"/>
              </w:rPr>
              <w:t>重大事项报告）</w:t>
            </w:r>
            <w:r w:rsidRPr="00FA1DCD">
              <w:rPr>
                <w:rFonts w:ascii="inherit" w:eastAsia="宋体" w:hAnsi="inherit" w:cs="Helvetica"/>
                <w:color w:val="444444"/>
                <w:kern w:val="0"/>
                <w:sz w:val="23"/>
                <w:szCs w:val="23"/>
              </w:rPr>
              <w:br/>
              <w:t>2</w:t>
            </w:r>
            <w:r w:rsidRPr="00FA1DCD">
              <w:rPr>
                <w:rFonts w:ascii="inherit" w:eastAsia="宋体" w:hAnsi="inherit" w:cs="Helvetica"/>
                <w:color w:val="444444"/>
                <w:kern w:val="0"/>
                <w:sz w:val="23"/>
                <w:szCs w:val="23"/>
              </w:rPr>
              <w:t>）政府资助的财产和捐赠协议约定不得投资的财产，不得用于投</w:t>
            </w:r>
            <w:r w:rsidRPr="00FA1DCD">
              <w:rPr>
                <w:rFonts w:ascii="inherit" w:eastAsia="宋体" w:hAnsi="inherit" w:cs="Helvetica"/>
                <w:color w:val="444444"/>
                <w:kern w:val="0"/>
                <w:sz w:val="23"/>
                <w:szCs w:val="23"/>
              </w:rPr>
              <w:lastRenderedPageBreak/>
              <w:t>资；</w:t>
            </w:r>
            <w:r w:rsidRPr="00FA1DCD">
              <w:rPr>
                <w:rFonts w:ascii="inherit" w:eastAsia="宋体" w:hAnsi="inherit" w:cs="Helvetica"/>
                <w:color w:val="444444"/>
                <w:kern w:val="0"/>
                <w:sz w:val="23"/>
                <w:szCs w:val="23"/>
              </w:rPr>
              <w:br/>
              <w:t>3</w:t>
            </w:r>
            <w:r w:rsidRPr="00FA1DCD">
              <w:rPr>
                <w:rFonts w:ascii="inherit" w:eastAsia="宋体" w:hAnsi="inherit" w:cs="Helvetica"/>
                <w:color w:val="444444"/>
                <w:kern w:val="0"/>
                <w:sz w:val="23"/>
                <w:szCs w:val="23"/>
              </w:rPr>
              <w:t>）负责人和工作人员不得在慈善组织投资的企业兼职或者领取报酬。</w:t>
            </w:r>
          </w:p>
        </w:tc>
        <w:tc>
          <w:tcPr>
            <w:tcW w:w="0" w:type="auto"/>
            <w:shd w:val="clear" w:color="auto" w:fill="FFFFFF"/>
            <w:tcMar>
              <w:top w:w="75" w:type="dxa"/>
              <w:left w:w="225" w:type="dxa"/>
              <w:bottom w:w="75" w:type="dxa"/>
              <w:right w:w="225" w:type="dxa"/>
            </w:tcMar>
            <w:vAlign w:val="center"/>
            <w:hideMark/>
          </w:tcPr>
          <w:p w14:paraId="790DFFCE"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lastRenderedPageBreak/>
              <w:t>专项基金的增值保值应当遵守基金会的法律规定、基金会的制度、专项基金发起设立协议。</w:t>
            </w:r>
          </w:p>
        </w:tc>
        <w:tc>
          <w:tcPr>
            <w:tcW w:w="0" w:type="auto"/>
            <w:shd w:val="clear" w:color="auto" w:fill="FFFFFF"/>
            <w:tcMar>
              <w:top w:w="75" w:type="dxa"/>
              <w:left w:w="225" w:type="dxa"/>
              <w:bottom w:w="75" w:type="dxa"/>
              <w:right w:w="225" w:type="dxa"/>
            </w:tcMar>
            <w:vAlign w:val="center"/>
            <w:hideMark/>
          </w:tcPr>
          <w:p w14:paraId="291B7022"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可以运用于银行存款、政府债券、中央银行票据、金融债券和货币市场基金等低风险资产，但委托人和信托公司另有约定的除外。</w:t>
            </w:r>
          </w:p>
        </w:tc>
      </w:tr>
      <w:tr w:rsidR="00FA1DCD" w:rsidRPr="00FA1DCD" w14:paraId="27FD764F" w14:textId="77777777" w:rsidTr="00FA1DCD">
        <w:trPr>
          <w:tblCellSpacing w:w="15" w:type="dxa"/>
        </w:trPr>
        <w:tc>
          <w:tcPr>
            <w:tcW w:w="1523" w:type="dxa"/>
            <w:shd w:val="clear" w:color="auto" w:fill="EEEEEE"/>
            <w:tcMar>
              <w:top w:w="75" w:type="dxa"/>
              <w:left w:w="225" w:type="dxa"/>
              <w:bottom w:w="75" w:type="dxa"/>
              <w:right w:w="225" w:type="dxa"/>
            </w:tcMar>
            <w:vAlign w:val="center"/>
            <w:hideMark/>
          </w:tcPr>
          <w:p w14:paraId="2F282CDC"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捐赠财产管理过程中的税收</w:t>
            </w:r>
          </w:p>
        </w:tc>
        <w:tc>
          <w:tcPr>
            <w:tcW w:w="0" w:type="auto"/>
            <w:shd w:val="clear" w:color="auto" w:fill="EEEEEE"/>
            <w:tcMar>
              <w:top w:w="75" w:type="dxa"/>
              <w:left w:w="225" w:type="dxa"/>
              <w:bottom w:w="75" w:type="dxa"/>
              <w:right w:w="225" w:type="dxa"/>
            </w:tcMar>
            <w:vAlign w:val="center"/>
            <w:hideMark/>
          </w:tcPr>
          <w:p w14:paraId="334DB556"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取得投资收益部分需缴纳所得税。</w:t>
            </w:r>
          </w:p>
        </w:tc>
        <w:tc>
          <w:tcPr>
            <w:tcW w:w="0" w:type="auto"/>
            <w:shd w:val="clear" w:color="auto" w:fill="EEEEEE"/>
            <w:tcMar>
              <w:top w:w="75" w:type="dxa"/>
              <w:left w:w="225" w:type="dxa"/>
              <w:bottom w:w="75" w:type="dxa"/>
              <w:right w:w="225" w:type="dxa"/>
            </w:tcMar>
            <w:vAlign w:val="center"/>
            <w:hideMark/>
          </w:tcPr>
          <w:p w14:paraId="47326DAC"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专项基金的税收由基金会处理。</w:t>
            </w:r>
          </w:p>
        </w:tc>
        <w:tc>
          <w:tcPr>
            <w:tcW w:w="0" w:type="auto"/>
            <w:shd w:val="clear" w:color="auto" w:fill="EEEEEE"/>
            <w:tcMar>
              <w:top w:w="75" w:type="dxa"/>
              <w:left w:w="225" w:type="dxa"/>
              <w:bottom w:w="75" w:type="dxa"/>
              <w:right w:w="225" w:type="dxa"/>
            </w:tcMar>
            <w:vAlign w:val="center"/>
            <w:hideMark/>
          </w:tcPr>
          <w:p w14:paraId="74A6399F"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信托计划属于契约型产品，非法人主体无须缴纳所得税。</w:t>
            </w:r>
          </w:p>
        </w:tc>
      </w:tr>
      <w:tr w:rsidR="00FA1DCD" w:rsidRPr="00FA1DCD" w14:paraId="0455C0B6" w14:textId="77777777" w:rsidTr="00FA1DCD">
        <w:trPr>
          <w:tblCellSpacing w:w="15" w:type="dxa"/>
        </w:trPr>
        <w:tc>
          <w:tcPr>
            <w:tcW w:w="1523" w:type="dxa"/>
            <w:shd w:val="clear" w:color="auto" w:fill="FFFFFF"/>
            <w:tcMar>
              <w:top w:w="75" w:type="dxa"/>
              <w:left w:w="225" w:type="dxa"/>
              <w:bottom w:w="75" w:type="dxa"/>
              <w:right w:w="225" w:type="dxa"/>
            </w:tcMar>
            <w:vAlign w:val="center"/>
            <w:hideMark/>
          </w:tcPr>
          <w:p w14:paraId="41B07DC1"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捐赠票据</w:t>
            </w:r>
          </w:p>
        </w:tc>
        <w:tc>
          <w:tcPr>
            <w:tcW w:w="0" w:type="auto"/>
            <w:shd w:val="clear" w:color="auto" w:fill="FFFFFF"/>
            <w:tcMar>
              <w:top w:w="75" w:type="dxa"/>
              <w:left w:w="225" w:type="dxa"/>
              <w:bottom w:w="75" w:type="dxa"/>
              <w:right w:w="225" w:type="dxa"/>
            </w:tcMar>
            <w:vAlign w:val="center"/>
            <w:hideMark/>
          </w:tcPr>
          <w:p w14:paraId="2AD532C6"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在申领捐赠票据后可开具捐赠票据。</w:t>
            </w:r>
          </w:p>
        </w:tc>
        <w:tc>
          <w:tcPr>
            <w:tcW w:w="0" w:type="auto"/>
            <w:shd w:val="clear" w:color="auto" w:fill="FFFFFF"/>
            <w:tcMar>
              <w:top w:w="75" w:type="dxa"/>
              <w:left w:w="225" w:type="dxa"/>
              <w:bottom w:w="75" w:type="dxa"/>
              <w:right w:w="225" w:type="dxa"/>
            </w:tcMar>
            <w:vAlign w:val="center"/>
            <w:hideMark/>
          </w:tcPr>
          <w:p w14:paraId="5009B1B7"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捐赠票据由基金会出具。</w:t>
            </w:r>
          </w:p>
        </w:tc>
        <w:tc>
          <w:tcPr>
            <w:tcW w:w="0" w:type="auto"/>
            <w:shd w:val="clear" w:color="auto" w:fill="FFFFFF"/>
            <w:tcMar>
              <w:top w:w="75" w:type="dxa"/>
              <w:left w:w="225" w:type="dxa"/>
              <w:bottom w:w="75" w:type="dxa"/>
              <w:right w:w="225" w:type="dxa"/>
            </w:tcMar>
            <w:vAlign w:val="center"/>
            <w:hideMark/>
          </w:tcPr>
          <w:p w14:paraId="1EF3A6E1"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法直接开具捐赠票据；实务中多通过与基金会合作，由基金会开具公益事业捐赠票据。</w:t>
            </w:r>
          </w:p>
        </w:tc>
      </w:tr>
      <w:tr w:rsidR="00FA1DCD" w:rsidRPr="00FA1DCD" w14:paraId="7710F390" w14:textId="77777777" w:rsidTr="00FA1DCD">
        <w:trPr>
          <w:tblCellSpacing w:w="15" w:type="dxa"/>
        </w:trPr>
        <w:tc>
          <w:tcPr>
            <w:tcW w:w="1523" w:type="dxa"/>
            <w:shd w:val="clear" w:color="auto" w:fill="EEEEEE"/>
            <w:tcMar>
              <w:top w:w="75" w:type="dxa"/>
              <w:left w:w="225" w:type="dxa"/>
              <w:bottom w:w="75" w:type="dxa"/>
              <w:right w:w="225" w:type="dxa"/>
            </w:tcMar>
            <w:vAlign w:val="center"/>
            <w:hideMark/>
          </w:tcPr>
          <w:p w14:paraId="68CEB7B8"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运营成本</w:t>
            </w:r>
          </w:p>
        </w:tc>
        <w:tc>
          <w:tcPr>
            <w:tcW w:w="0" w:type="auto"/>
            <w:shd w:val="clear" w:color="auto" w:fill="EEEEEE"/>
            <w:tcMar>
              <w:top w:w="75" w:type="dxa"/>
              <w:left w:w="225" w:type="dxa"/>
              <w:bottom w:w="75" w:type="dxa"/>
              <w:right w:w="225" w:type="dxa"/>
            </w:tcMar>
            <w:vAlign w:val="center"/>
            <w:hideMark/>
          </w:tcPr>
          <w:p w14:paraId="5D6AF11F"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运营成本较高</w:t>
            </w:r>
            <w:r w:rsidRPr="00FA1DCD">
              <w:rPr>
                <w:rFonts w:ascii="inherit" w:eastAsia="宋体" w:hAnsi="inherit" w:cs="Helvetica"/>
                <w:color w:val="444444"/>
                <w:kern w:val="0"/>
                <w:sz w:val="23"/>
                <w:szCs w:val="23"/>
              </w:rPr>
              <w:br/>
            </w:r>
            <w:r w:rsidRPr="00FA1DCD">
              <w:rPr>
                <w:rFonts w:ascii="inherit" w:eastAsia="宋体" w:hAnsi="inherit" w:cs="Helvetica"/>
                <w:color w:val="444444"/>
                <w:kern w:val="0"/>
                <w:sz w:val="23"/>
                <w:szCs w:val="23"/>
              </w:rPr>
              <w:t>住所、人力等成本较高主要运营成本为人力成本。</w:t>
            </w:r>
          </w:p>
        </w:tc>
        <w:tc>
          <w:tcPr>
            <w:tcW w:w="0" w:type="auto"/>
            <w:shd w:val="clear" w:color="auto" w:fill="EEEEEE"/>
            <w:tcMar>
              <w:top w:w="75" w:type="dxa"/>
              <w:left w:w="225" w:type="dxa"/>
              <w:bottom w:w="75" w:type="dxa"/>
              <w:right w:w="225" w:type="dxa"/>
            </w:tcMar>
            <w:vAlign w:val="center"/>
            <w:hideMark/>
          </w:tcPr>
          <w:p w14:paraId="6AB125F3"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运营成本较低。</w:t>
            </w:r>
          </w:p>
        </w:tc>
        <w:tc>
          <w:tcPr>
            <w:tcW w:w="0" w:type="auto"/>
            <w:shd w:val="clear" w:color="auto" w:fill="EEEEEE"/>
            <w:tcMar>
              <w:top w:w="75" w:type="dxa"/>
              <w:left w:w="225" w:type="dxa"/>
              <w:bottom w:w="75" w:type="dxa"/>
              <w:right w:w="225" w:type="dxa"/>
            </w:tcMar>
            <w:vAlign w:val="center"/>
            <w:hideMark/>
          </w:tcPr>
          <w:p w14:paraId="2909C680"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运营成本较低</w:t>
            </w:r>
            <w:r w:rsidRPr="00FA1DCD">
              <w:rPr>
                <w:rFonts w:ascii="inherit" w:eastAsia="宋体" w:hAnsi="inherit" w:cs="Helvetica"/>
                <w:color w:val="444444"/>
                <w:kern w:val="0"/>
                <w:sz w:val="23"/>
                <w:szCs w:val="23"/>
              </w:rPr>
              <w:br/>
            </w:r>
            <w:r w:rsidRPr="00FA1DCD">
              <w:rPr>
                <w:rFonts w:ascii="inherit" w:eastAsia="宋体" w:hAnsi="inherit" w:cs="Helvetica"/>
                <w:color w:val="444444"/>
                <w:kern w:val="0"/>
                <w:sz w:val="23"/>
                <w:szCs w:val="23"/>
              </w:rPr>
              <w:t>慈善信托受理人管理费和信托监察人报酬，每年度合计不得高于慈善信托财产总额的千分之八。</w:t>
            </w:r>
          </w:p>
        </w:tc>
      </w:tr>
      <w:tr w:rsidR="00FA1DCD" w:rsidRPr="00FA1DCD" w14:paraId="1F9E8C37" w14:textId="77777777" w:rsidTr="00FA1DCD">
        <w:trPr>
          <w:tblCellSpacing w:w="15" w:type="dxa"/>
        </w:trPr>
        <w:tc>
          <w:tcPr>
            <w:tcW w:w="1523" w:type="dxa"/>
            <w:shd w:val="clear" w:color="auto" w:fill="FFFFFF"/>
            <w:tcMar>
              <w:top w:w="75" w:type="dxa"/>
              <w:left w:w="225" w:type="dxa"/>
              <w:bottom w:w="75" w:type="dxa"/>
              <w:right w:w="225" w:type="dxa"/>
            </w:tcMar>
            <w:vAlign w:val="center"/>
            <w:hideMark/>
          </w:tcPr>
          <w:p w14:paraId="605CDE10"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支出和费用的限制</w:t>
            </w:r>
          </w:p>
        </w:tc>
        <w:tc>
          <w:tcPr>
            <w:tcW w:w="0" w:type="auto"/>
            <w:shd w:val="clear" w:color="auto" w:fill="FFFFFF"/>
            <w:tcMar>
              <w:top w:w="75" w:type="dxa"/>
              <w:left w:w="225" w:type="dxa"/>
              <w:bottom w:w="75" w:type="dxa"/>
              <w:right w:w="225" w:type="dxa"/>
            </w:tcMar>
            <w:vAlign w:val="center"/>
            <w:hideMark/>
          </w:tcPr>
          <w:p w14:paraId="65BFE44D"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基金会工作人员工资福利和行政办公支出不得超过当年总支出的</w:t>
            </w:r>
            <w:r w:rsidRPr="00FA1DCD">
              <w:rPr>
                <w:rFonts w:ascii="inherit" w:eastAsia="宋体" w:hAnsi="inherit" w:cs="Helvetica"/>
                <w:color w:val="444444"/>
                <w:kern w:val="0"/>
                <w:sz w:val="23"/>
                <w:szCs w:val="23"/>
              </w:rPr>
              <w:t>10%</w:t>
            </w:r>
            <w:r w:rsidRPr="00FA1DCD">
              <w:rPr>
                <w:rFonts w:ascii="inherit" w:eastAsia="宋体" w:hAnsi="inherit" w:cs="Helvetica"/>
                <w:color w:val="444444"/>
                <w:kern w:val="0"/>
                <w:sz w:val="23"/>
                <w:szCs w:val="23"/>
              </w:rPr>
              <w:t>。</w:t>
            </w:r>
            <w:r w:rsidRPr="00FA1DCD">
              <w:rPr>
                <w:rFonts w:ascii="inherit" w:eastAsia="宋体" w:hAnsi="inherit" w:cs="Helvetica"/>
                <w:color w:val="444444"/>
                <w:kern w:val="0"/>
                <w:sz w:val="23"/>
                <w:szCs w:val="23"/>
              </w:rPr>
              <w:br/>
            </w:r>
            <w:proofErr w:type="gramStart"/>
            <w:r w:rsidRPr="00FA1DCD">
              <w:rPr>
                <w:rFonts w:ascii="inherit" w:eastAsia="宋体" w:hAnsi="inherit" w:cs="Helvetica"/>
                <w:color w:val="444444"/>
                <w:kern w:val="0"/>
                <w:sz w:val="23"/>
                <w:szCs w:val="23"/>
              </w:rPr>
              <w:t>其他要</w:t>
            </w:r>
            <w:proofErr w:type="gramEnd"/>
            <w:r w:rsidRPr="00FA1DCD">
              <w:rPr>
                <w:rFonts w:ascii="inherit" w:eastAsia="宋体" w:hAnsi="inherit" w:cs="Helvetica"/>
                <w:color w:val="444444"/>
                <w:kern w:val="0"/>
                <w:sz w:val="23"/>
                <w:szCs w:val="23"/>
              </w:rPr>
              <w:t>遵守《关于慈善组织的开展慈善活动年度支出和管理费用的规定》。</w:t>
            </w:r>
          </w:p>
        </w:tc>
        <w:tc>
          <w:tcPr>
            <w:tcW w:w="0" w:type="auto"/>
            <w:shd w:val="clear" w:color="auto" w:fill="FFFFFF"/>
            <w:tcMar>
              <w:top w:w="75" w:type="dxa"/>
              <w:left w:w="225" w:type="dxa"/>
              <w:bottom w:w="75" w:type="dxa"/>
              <w:right w:w="225" w:type="dxa"/>
            </w:tcMar>
            <w:vAlign w:val="center"/>
            <w:hideMark/>
          </w:tcPr>
          <w:p w14:paraId="0DA64BAC"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按照专项基金设立协议，一般不超过该专项基金年度总支出的</w:t>
            </w:r>
            <w:r w:rsidRPr="00FA1DCD">
              <w:rPr>
                <w:rFonts w:ascii="inherit" w:eastAsia="宋体" w:hAnsi="inherit" w:cs="Helvetica"/>
                <w:color w:val="444444"/>
                <w:kern w:val="0"/>
                <w:sz w:val="23"/>
                <w:szCs w:val="23"/>
              </w:rPr>
              <w:t>10%</w:t>
            </w:r>
            <w:r w:rsidRPr="00FA1DCD">
              <w:rPr>
                <w:rFonts w:ascii="inherit" w:eastAsia="宋体" w:hAnsi="inherit" w:cs="Helvetica"/>
                <w:color w:val="444444"/>
                <w:kern w:val="0"/>
                <w:sz w:val="23"/>
                <w:szCs w:val="23"/>
              </w:rPr>
              <w:t>。</w:t>
            </w:r>
          </w:p>
        </w:tc>
        <w:tc>
          <w:tcPr>
            <w:tcW w:w="0" w:type="auto"/>
            <w:shd w:val="clear" w:color="auto" w:fill="FFFFFF"/>
            <w:tcMar>
              <w:top w:w="75" w:type="dxa"/>
              <w:left w:w="225" w:type="dxa"/>
              <w:bottom w:w="75" w:type="dxa"/>
              <w:right w:w="225" w:type="dxa"/>
            </w:tcMar>
            <w:vAlign w:val="center"/>
            <w:hideMark/>
          </w:tcPr>
          <w:p w14:paraId="3FB1B5F7"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无相应限制</w:t>
            </w:r>
          </w:p>
        </w:tc>
      </w:tr>
      <w:tr w:rsidR="00FA1DCD" w:rsidRPr="00FA1DCD" w14:paraId="2F05F218" w14:textId="77777777" w:rsidTr="00FA1DCD">
        <w:trPr>
          <w:tblCellSpacing w:w="15" w:type="dxa"/>
        </w:trPr>
        <w:tc>
          <w:tcPr>
            <w:tcW w:w="1523" w:type="dxa"/>
            <w:shd w:val="clear" w:color="auto" w:fill="EEEEEE"/>
            <w:tcMar>
              <w:top w:w="75" w:type="dxa"/>
              <w:left w:w="225" w:type="dxa"/>
              <w:bottom w:w="75" w:type="dxa"/>
              <w:right w:w="225" w:type="dxa"/>
            </w:tcMar>
            <w:vAlign w:val="center"/>
            <w:hideMark/>
          </w:tcPr>
          <w:p w14:paraId="2075D866"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运行的最低额度</w:t>
            </w:r>
          </w:p>
        </w:tc>
        <w:tc>
          <w:tcPr>
            <w:tcW w:w="0" w:type="auto"/>
            <w:shd w:val="clear" w:color="auto" w:fill="EEEEEE"/>
            <w:tcMar>
              <w:top w:w="75" w:type="dxa"/>
              <w:left w:w="225" w:type="dxa"/>
              <w:bottom w:w="75" w:type="dxa"/>
              <w:right w:w="225" w:type="dxa"/>
            </w:tcMar>
            <w:vAlign w:val="center"/>
            <w:hideMark/>
          </w:tcPr>
          <w:p w14:paraId="63FB804B"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实践中，民政部门要求，基金会的年末净资产不得低于注册资金。</w:t>
            </w:r>
          </w:p>
        </w:tc>
        <w:tc>
          <w:tcPr>
            <w:tcW w:w="0" w:type="auto"/>
            <w:shd w:val="clear" w:color="auto" w:fill="EEEEEE"/>
            <w:tcMar>
              <w:top w:w="75" w:type="dxa"/>
              <w:left w:w="225" w:type="dxa"/>
              <w:bottom w:w="75" w:type="dxa"/>
              <w:right w:w="225" w:type="dxa"/>
            </w:tcMar>
            <w:vAlign w:val="center"/>
            <w:hideMark/>
          </w:tcPr>
          <w:p w14:paraId="4275A2C6"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一般由基金会的内部制度与专项基金发起设立协议规定。</w:t>
            </w:r>
          </w:p>
        </w:tc>
        <w:tc>
          <w:tcPr>
            <w:tcW w:w="0" w:type="auto"/>
            <w:shd w:val="clear" w:color="auto" w:fill="EEEEEE"/>
            <w:tcMar>
              <w:top w:w="75" w:type="dxa"/>
              <w:left w:w="225" w:type="dxa"/>
              <w:bottom w:w="75" w:type="dxa"/>
              <w:right w:w="225" w:type="dxa"/>
            </w:tcMar>
            <w:vAlign w:val="center"/>
            <w:hideMark/>
          </w:tcPr>
          <w:p w14:paraId="35F2647D"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无相关规定。</w:t>
            </w:r>
          </w:p>
        </w:tc>
      </w:tr>
      <w:tr w:rsidR="00FA1DCD" w:rsidRPr="00FA1DCD" w14:paraId="65C2BC36" w14:textId="77777777" w:rsidTr="00FA1DCD">
        <w:trPr>
          <w:tblCellSpacing w:w="15" w:type="dxa"/>
        </w:trPr>
        <w:tc>
          <w:tcPr>
            <w:tcW w:w="1523" w:type="dxa"/>
            <w:shd w:val="clear" w:color="auto" w:fill="FFFFFF"/>
            <w:tcMar>
              <w:top w:w="75" w:type="dxa"/>
              <w:left w:w="225" w:type="dxa"/>
              <w:bottom w:w="75" w:type="dxa"/>
              <w:right w:w="225" w:type="dxa"/>
            </w:tcMar>
            <w:vAlign w:val="center"/>
            <w:hideMark/>
          </w:tcPr>
          <w:p w14:paraId="12253EAA"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lastRenderedPageBreak/>
              <w:t>捐赠人的控制力</w:t>
            </w:r>
          </w:p>
        </w:tc>
        <w:tc>
          <w:tcPr>
            <w:tcW w:w="0" w:type="auto"/>
            <w:shd w:val="clear" w:color="auto" w:fill="FFFFFF"/>
            <w:tcMar>
              <w:top w:w="75" w:type="dxa"/>
              <w:left w:w="225" w:type="dxa"/>
              <w:bottom w:w="75" w:type="dxa"/>
              <w:right w:w="225" w:type="dxa"/>
            </w:tcMar>
            <w:vAlign w:val="center"/>
            <w:hideMark/>
          </w:tcPr>
          <w:p w14:paraId="39E1BF39"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捐赠人可以作为基金会的理事会成员和主要负责人，从而一定程度上控制基金会。</w:t>
            </w:r>
          </w:p>
        </w:tc>
        <w:tc>
          <w:tcPr>
            <w:tcW w:w="0" w:type="auto"/>
            <w:shd w:val="clear" w:color="auto" w:fill="FFFFFF"/>
            <w:tcMar>
              <w:top w:w="75" w:type="dxa"/>
              <w:left w:w="225" w:type="dxa"/>
              <w:bottom w:w="75" w:type="dxa"/>
              <w:right w:w="225" w:type="dxa"/>
            </w:tcMar>
            <w:vAlign w:val="center"/>
            <w:hideMark/>
          </w:tcPr>
          <w:p w14:paraId="2471C1C7"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专项基金发起人的权利在专项基金发起设立协议中，一般与基金会共同决定专项基金的发展方向、专项基金的公益项目等问题。</w:t>
            </w:r>
          </w:p>
        </w:tc>
        <w:tc>
          <w:tcPr>
            <w:tcW w:w="0" w:type="auto"/>
            <w:shd w:val="clear" w:color="auto" w:fill="FFFFFF"/>
            <w:tcMar>
              <w:top w:w="75" w:type="dxa"/>
              <w:left w:w="225" w:type="dxa"/>
              <w:bottom w:w="75" w:type="dxa"/>
              <w:right w:w="225" w:type="dxa"/>
            </w:tcMar>
            <w:vAlign w:val="center"/>
            <w:hideMark/>
          </w:tcPr>
          <w:p w14:paraId="3B23C17D" w14:textId="77777777" w:rsidR="00FA1DCD" w:rsidRPr="00FA1DCD" w:rsidRDefault="00FA1DCD" w:rsidP="00FA1DCD">
            <w:pPr>
              <w:widowControl/>
              <w:jc w:val="left"/>
              <w:rPr>
                <w:rFonts w:ascii="inherit" w:eastAsia="宋体" w:hAnsi="inherit" w:cs="Helvetica"/>
                <w:color w:val="444444"/>
                <w:kern w:val="0"/>
                <w:sz w:val="23"/>
                <w:szCs w:val="23"/>
              </w:rPr>
            </w:pPr>
            <w:r w:rsidRPr="00FA1DCD">
              <w:rPr>
                <w:rFonts w:ascii="inherit" w:eastAsia="宋体" w:hAnsi="inherit" w:cs="Helvetica"/>
                <w:color w:val="444444"/>
                <w:kern w:val="0"/>
                <w:sz w:val="23"/>
                <w:szCs w:val="23"/>
              </w:rPr>
              <w:t>作为慈善信托的委托人，拥有选择受托人的权利、变更受托人的权利、对慈善信托开展的知情权、选择信托监察人的权利并有权获得监察人关于活动开展情况的报告的权利。</w:t>
            </w:r>
          </w:p>
        </w:tc>
      </w:tr>
    </w:tbl>
    <w:p w14:paraId="7FDE09F3" w14:textId="77777777" w:rsidR="002D788E" w:rsidRPr="00FA1DCD" w:rsidRDefault="002D788E"/>
    <w:sectPr w:rsidR="002D788E" w:rsidRPr="00FA1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CD"/>
    <w:rsid w:val="002D788E"/>
    <w:rsid w:val="004E286E"/>
    <w:rsid w:val="00D46C46"/>
    <w:rsid w:val="00FA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F8CA"/>
  <w15:chartTrackingRefBased/>
  <w15:docId w15:val="{B4E492AE-37E0-4747-834F-1674C95A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A1DC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FA1DC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A1DCD"/>
    <w:rPr>
      <w:rFonts w:ascii="宋体" w:eastAsia="宋体" w:hAnsi="宋体" w:cs="宋体"/>
      <w:b/>
      <w:bCs/>
      <w:kern w:val="0"/>
      <w:sz w:val="36"/>
      <w:szCs w:val="36"/>
    </w:rPr>
  </w:style>
  <w:style w:type="character" w:customStyle="1" w:styleId="30">
    <w:name w:val="标题 3 字符"/>
    <w:basedOn w:val="a0"/>
    <w:link w:val="3"/>
    <w:uiPriority w:val="9"/>
    <w:rsid w:val="00FA1DCD"/>
    <w:rPr>
      <w:rFonts w:ascii="宋体" w:eastAsia="宋体" w:hAnsi="宋体" w:cs="宋体"/>
      <w:b/>
      <w:bCs/>
      <w:kern w:val="0"/>
      <w:sz w:val="27"/>
      <w:szCs w:val="27"/>
    </w:rPr>
  </w:style>
  <w:style w:type="paragraph" w:styleId="a3">
    <w:name w:val="Normal (Web)"/>
    <w:basedOn w:val="a"/>
    <w:uiPriority w:val="99"/>
    <w:semiHidden/>
    <w:unhideWhenUsed/>
    <w:rsid w:val="00FA1D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188</Words>
  <Characters>1073</Characters>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2021-06-25T09:39:00Z</dcterms:created>
  <dcterms:modified xsi:type="dcterms:W3CDTF">2021-06-25T09:43:00Z</dcterms:modified>
</cp:coreProperties>
</file>